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22DEF" w14:textId="5F2D68CF" w:rsidR="008D5A71" w:rsidRPr="008D5A71" w:rsidRDefault="008D5A71">
      <w:pPr>
        <w:rPr>
          <w:b/>
          <w:bCs/>
        </w:rPr>
      </w:pPr>
      <w:r w:rsidRPr="008D5A71">
        <w:rPr>
          <w:b/>
          <w:bCs/>
        </w:rPr>
        <w:t>Lotteritilsynets vurdering av egnethet etter hvitvaskingsloven</w:t>
      </w:r>
    </w:p>
    <w:p w14:paraId="65428AE3" w14:textId="34EBEE82" w:rsidR="008D5A71" w:rsidRPr="008D5A71" w:rsidRDefault="008D5A71" w:rsidP="008D5A71">
      <w:r w:rsidRPr="008D5A71">
        <w:t>Etter gjeldende hvitvaskingslov</w:t>
      </w:r>
      <w:r w:rsidRPr="008D5A71">
        <w:rPr>
          <w:vertAlign w:val="superscript"/>
        </w:rPr>
        <w:footnoteReference w:id="1"/>
      </w:r>
      <w:r w:rsidRPr="008D5A71">
        <w:t xml:space="preserve"> som trådte i kraft 15. oktober 2018 er tilbydere av spilltjenester omfattet av hvitvaskingsregelverket. Dette innebærer at </w:t>
      </w:r>
      <w:r w:rsidR="00C038EB">
        <w:t xml:space="preserve">enerettstilbydere </w:t>
      </w:r>
      <w:r w:rsidRPr="008D5A71">
        <w:t xml:space="preserve">som Norsk Tipping, Norsk Rikstoto og andre </w:t>
      </w:r>
      <w:r w:rsidR="00C038EB">
        <w:t>pengespilltilbydere</w:t>
      </w:r>
      <w:r w:rsidR="00604D3A">
        <w:rPr>
          <w:rStyle w:val="Fotnotereferanse"/>
        </w:rPr>
        <w:footnoteReference w:id="2"/>
      </w:r>
      <w:r w:rsidRPr="008D5A71">
        <w:t>, er rapporteringspliktige og må oppfylle hvitvaskingslovens krav.</w:t>
      </w:r>
      <w:r w:rsidR="00C038EB">
        <w:rPr>
          <w:rStyle w:val="Fotnotereferanse"/>
        </w:rPr>
        <w:footnoteReference w:id="3"/>
      </w:r>
    </w:p>
    <w:p w14:paraId="092A8B61" w14:textId="11B7B2B4" w:rsidR="008D5A71" w:rsidRDefault="008D5A71" w:rsidP="008D5A71">
      <w:r w:rsidRPr="008D5A71">
        <w:t xml:space="preserve">Mer informasjon om pliktene </w:t>
      </w:r>
      <w:r w:rsidR="00604D3A">
        <w:t>penge</w:t>
      </w:r>
      <w:r w:rsidRPr="008D5A71">
        <w:t xml:space="preserve">spilltilbyderne er underlagt, finnes på våre hjemmesider </w:t>
      </w:r>
      <w:hyperlink r:id="rId8" w:history="1">
        <w:r w:rsidRPr="008D5A71">
          <w:rPr>
            <w:rStyle w:val="Hyperkobling"/>
          </w:rPr>
          <w:t>www.lottstift.no</w:t>
        </w:r>
      </w:hyperlink>
      <w:r w:rsidRPr="008D5A71">
        <w:t>, under</w:t>
      </w:r>
      <w:r w:rsidR="00A74685">
        <w:t xml:space="preserve"> «</w:t>
      </w:r>
      <w:hyperlink r:id="rId9" w:history="1">
        <w:r w:rsidR="004679DD" w:rsidRPr="004679DD">
          <w:rPr>
            <w:color w:val="0000FF"/>
            <w:u w:val="single"/>
          </w:rPr>
          <w:t>Sjekkliste hvitvasking - Lottstift</w:t>
        </w:r>
      </w:hyperlink>
      <w:r w:rsidRPr="008D5A71">
        <w:t>»</w:t>
      </w:r>
      <w:r w:rsidR="00C038EB">
        <w:rPr>
          <w:rStyle w:val="Fotnotereferanse"/>
        </w:rPr>
        <w:footnoteReference w:id="4"/>
      </w:r>
      <w:r w:rsidRPr="008D5A71">
        <w:t>.</w:t>
      </w:r>
      <w:r w:rsidR="00C038EB">
        <w:rPr>
          <w:vertAlign w:val="superscript"/>
        </w:rPr>
        <w:t xml:space="preserve"> </w:t>
      </w:r>
      <w:r w:rsidR="00C038EB" w:rsidRPr="008D5A71">
        <w:t xml:space="preserve"> </w:t>
      </w:r>
      <w:r w:rsidRPr="008D5A71">
        <w:t xml:space="preserve">Det vises også til andre krav i hvitvaskingsloven. </w:t>
      </w:r>
    </w:p>
    <w:p w14:paraId="5012009B" w14:textId="521609F6" w:rsidR="008D5A71" w:rsidRPr="008D5A71" w:rsidRDefault="008D5A71" w:rsidP="008D5A71">
      <w:r w:rsidRPr="008D5A71">
        <w:t xml:space="preserve">Det stilles krav til </w:t>
      </w:r>
      <w:r w:rsidR="00B50A0A">
        <w:t>at s</w:t>
      </w:r>
      <w:r w:rsidR="00B50A0A" w:rsidRPr="00B50A0A">
        <w:t>tyremedlemmer, administrerende direktør, daglig leder og andre personer i den faktiske ledelsen hos tilbydere av pengespill</w:t>
      </w:r>
      <w:r w:rsidR="00B50A0A">
        <w:t xml:space="preserve"> </w:t>
      </w:r>
      <w:r w:rsidRPr="008D5A71">
        <w:t xml:space="preserve">skal være «egnet» og til at Lotteritilsynet skal foreta vurderinger av egnethet. Kravet til egnethet retter seg mot en begrenset personkrets hos </w:t>
      </w:r>
      <w:r w:rsidRPr="008D5A71">
        <w:rPr>
          <w:u w:val="single"/>
        </w:rPr>
        <w:t>alle</w:t>
      </w:r>
      <w:r w:rsidRPr="008D5A71">
        <w:t xml:space="preserve"> tilbydere av </w:t>
      </w:r>
      <w:r w:rsidR="00B50A0A">
        <w:t>pengespill</w:t>
      </w:r>
      <w:r w:rsidRPr="008D5A71">
        <w:t xml:space="preserve">, og er hjemlet </w:t>
      </w:r>
      <w:r w:rsidR="00B50A0A">
        <w:t xml:space="preserve">i pengespilloven § 9. </w:t>
      </w:r>
    </w:p>
    <w:p w14:paraId="7D8C41D7" w14:textId="77777777" w:rsidR="008D5A71" w:rsidRPr="008D5A71" w:rsidRDefault="008D5A71" w:rsidP="008D5A71">
      <w:pPr>
        <w:rPr>
          <w:b/>
        </w:rPr>
      </w:pPr>
      <w:r w:rsidRPr="008D5A71">
        <w:rPr>
          <w:b/>
        </w:rPr>
        <w:t>Hvem skal vurderes?</w:t>
      </w:r>
    </w:p>
    <w:p w14:paraId="08C6CAE5" w14:textId="77777777" w:rsidR="008D5A71" w:rsidRPr="008D5A71" w:rsidRDefault="008D5A71" w:rsidP="008D5A71">
      <w:r w:rsidRPr="008D5A71">
        <w:t>Daglig leder og andre personer i den faktiske ledelsen, styremedlemmer (og varamedlemmer) eller reelle rettighetshavere i eller til virksomheten skal være «egnede».</w:t>
      </w:r>
    </w:p>
    <w:p w14:paraId="5622DC19" w14:textId="77777777" w:rsidR="008D5A71" w:rsidRPr="008D5A71" w:rsidRDefault="008D5A71" w:rsidP="008D5A71">
      <w:r w:rsidRPr="008D5A71">
        <w:t xml:space="preserve">Med daglig leder menes den som er registrert som daglig leder i foretaksregisteret. Videre skal alle medlemmer av styret, og eventuelle varamedlemmer, egnethetsvurderes. </w:t>
      </w:r>
    </w:p>
    <w:p w14:paraId="6A864CE7" w14:textId="77777777" w:rsidR="008D5A71" w:rsidRPr="008D5A71" w:rsidRDefault="008D5A71" w:rsidP="008D5A71">
      <w:r w:rsidRPr="008D5A71">
        <w:t xml:space="preserve">Med andre personer i den faktiske ledelsen menes andre personer i virksomheten med et overordnet ansvar. Den enkelte virksomhet må selv definere </w:t>
      </w:r>
      <w:r w:rsidRPr="008D5A71">
        <w:rPr>
          <w:b/>
        </w:rPr>
        <w:t>hvem</w:t>
      </w:r>
      <w:r w:rsidRPr="008D5A71">
        <w:t xml:space="preserve"> som anses som faktiske ledere. Eksempelvis vil personer som har en nøkkelfunksjon eller leder sentrale deler av virksomheten, kunne anses å være faktisk leder. Lotteritilsynet antar videre at følgende er relevant ved vurderingen av hvem som skal anses å være faktisk leder:</w:t>
      </w:r>
    </w:p>
    <w:p w14:paraId="0654B77F" w14:textId="77777777" w:rsidR="008D5A71" w:rsidRPr="008D5A71" w:rsidRDefault="008D5A71" w:rsidP="008D5A71">
      <w:pPr>
        <w:numPr>
          <w:ilvl w:val="0"/>
          <w:numId w:val="1"/>
        </w:numPr>
      </w:pPr>
      <w:r w:rsidRPr="008D5A71">
        <w:t>Om det er en klart definert ledergruppe.</w:t>
      </w:r>
    </w:p>
    <w:p w14:paraId="7B102992" w14:textId="77777777" w:rsidR="008D5A71" w:rsidRPr="008D5A71" w:rsidRDefault="008D5A71" w:rsidP="008D5A71">
      <w:pPr>
        <w:numPr>
          <w:ilvl w:val="0"/>
          <w:numId w:val="1"/>
        </w:numPr>
      </w:pPr>
      <w:r w:rsidRPr="008D5A71">
        <w:t>Hvem det rapporteres til og hvem som har rapporteringsansvar.</w:t>
      </w:r>
    </w:p>
    <w:p w14:paraId="3617CD36" w14:textId="77777777" w:rsidR="008D5A71" w:rsidRPr="008D5A71" w:rsidRDefault="008D5A71" w:rsidP="008D5A71">
      <w:pPr>
        <w:numPr>
          <w:ilvl w:val="0"/>
          <w:numId w:val="1"/>
        </w:numPr>
      </w:pPr>
      <w:r w:rsidRPr="008D5A71">
        <w:t>Stillingsinstrukser og fullmakter.</w:t>
      </w:r>
    </w:p>
    <w:p w14:paraId="09B17164" w14:textId="77777777" w:rsidR="008D5A71" w:rsidRPr="008D5A71" w:rsidRDefault="008D5A71" w:rsidP="008D5A71">
      <w:r w:rsidRPr="008D5A71">
        <w:t>Reelle rettighetshavere skal egnethetsvurderes. En reell rettighetshaver er etter hvitvaskingsloven § 2 bokstav e en fysisk person som i siste instans reelt sett eier eller kontrollerer virksomheten. Virksomheten må selv identifisere om virksomheten har reelle rettighetshavere, og hvem disse i så tilfelle er.</w:t>
      </w:r>
    </w:p>
    <w:p w14:paraId="79AE56A1" w14:textId="77777777" w:rsidR="008D5A71" w:rsidRPr="008D5A71" w:rsidRDefault="008D5A71" w:rsidP="008D5A71">
      <w:pPr>
        <w:rPr>
          <w:b/>
        </w:rPr>
      </w:pPr>
      <w:r w:rsidRPr="008D5A71">
        <w:rPr>
          <w:b/>
        </w:rPr>
        <w:t>Hva skal vurderes?</w:t>
      </w:r>
    </w:p>
    <w:p w14:paraId="339A53EE" w14:textId="7D721293" w:rsidR="003F3CFE" w:rsidRPr="008D5A71" w:rsidRDefault="008D5A71" w:rsidP="003F3CFE">
      <w:r w:rsidRPr="008D5A71">
        <w:t>Egnethetsvurderingene innebærer at Lotteritilsynet skal se på vandel, så vel som enkelte andre forhold som kan ha betydning for om de nevnte personer kan ivareta sin stilling på en forsvarlig måte. Det skal fremlegges ordinær politiattest etter politiregisterloven § 40.</w:t>
      </w:r>
      <w:r w:rsidRPr="008D5A71">
        <w:rPr>
          <w:vertAlign w:val="superscript"/>
        </w:rPr>
        <w:footnoteReference w:id="5"/>
      </w:r>
      <w:r w:rsidRPr="008D5A71">
        <w:t xml:space="preserve"> Ved elektronisk søknad om politiattest brukes følgende</w:t>
      </w:r>
      <w:r w:rsidR="00B50A0A">
        <w:t xml:space="preserve"> kategori: Lotteri og pengespill, </w:t>
      </w:r>
      <w:r w:rsidR="00604D3A" w:rsidRPr="008D5A71">
        <w:t xml:space="preserve">formål: </w:t>
      </w:r>
      <w:r w:rsidR="00604D3A">
        <w:t>velge</w:t>
      </w:r>
      <w:r w:rsidR="00B50A0A">
        <w:t xml:space="preserve"> enten «medhjelper for </w:t>
      </w:r>
      <w:r w:rsidR="00B50A0A">
        <w:lastRenderedPageBreak/>
        <w:t>organisasjon som har tillatelse til å tilby pengespill», dersom man er en medhjelper</w:t>
      </w:r>
      <w:r w:rsidR="00604D3A">
        <w:t xml:space="preserve">, </w:t>
      </w:r>
      <w:r w:rsidR="00B50A0A">
        <w:t xml:space="preserve">eller «pengespill» for alle andre enn de som søker om godkjenning som medhjelper. </w:t>
      </w:r>
      <w:r w:rsidRPr="008D5A71">
        <w:t xml:space="preserve"> </w:t>
      </w:r>
      <w:r w:rsidR="003F3CFE" w:rsidRPr="008D5A71">
        <w:t xml:space="preserve">Politiattesten kan ikke være eldre enn tre måneder når den mottas av Lotteritilsynet. </w:t>
      </w:r>
    </w:p>
    <w:p w14:paraId="71C54435" w14:textId="77777777" w:rsidR="008D5A71" w:rsidRPr="008D5A71" w:rsidRDefault="008D5A71" w:rsidP="008D5A71">
      <w:pPr>
        <w:rPr>
          <w:b/>
        </w:rPr>
      </w:pPr>
      <w:r w:rsidRPr="008D5A71">
        <w:rPr>
          <w:b/>
        </w:rPr>
        <w:t>Hva må du gjøre?</w:t>
      </w:r>
    </w:p>
    <w:p w14:paraId="37D6A682" w14:textId="3AA9E59E" w:rsidR="008D5A71" w:rsidRPr="008D5A71" w:rsidRDefault="008D5A71" w:rsidP="008D5A71">
      <w:r>
        <w:t>S</w:t>
      </w:r>
      <w:r w:rsidRPr="008D5A71">
        <w:t>kjema for vurdering av egnethet</w:t>
      </w:r>
      <w:r>
        <w:t xml:space="preserve"> som ligger på vår hjemmeside </w:t>
      </w:r>
      <w:r w:rsidRPr="008D5A71">
        <w:t>skal fylles ut personlig av de som er aktuelle i den nevnte personkrets</w:t>
      </w:r>
      <w:r w:rsidR="00414470">
        <w:t>en</w:t>
      </w:r>
      <w:r w:rsidRPr="008D5A71">
        <w:t xml:space="preserve">. </w:t>
      </w:r>
    </w:p>
    <w:p w14:paraId="40BE8971" w14:textId="77777777" w:rsidR="008D5A71" w:rsidRPr="008D5A71" w:rsidRDefault="008D5A71" w:rsidP="008D5A71">
      <w:r w:rsidRPr="008D5A71">
        <w:t>Du har ansvar for:</w:t>
      </w:r>
    </w:p>
    <w:p w14:paraId="1683AB9E" w14:textId="77777777" w:rsidR="008D5A71" w:rsidRPr="008D5A71" w:rsidRDefault="008D5A71" w:rsidP="008D5A71">
      <w:pPr>
        <w:numPr>
          <w:ilvl w:val="0"/>
          <w:numId w:val="1"/>
        </w:numPr>
      </w:pPr>
      <w:r w:rsidRPr="008D5A71">
        <w:t xml:space="preserve">å identifisere de personer i din virksomhet som favnes av personkretsen som beskrevet over. </w:t>
      </w:r>
    </w:p>
    <w:p w14:paraId="545B8D96" w14:textId="77777777" w:rsidR="008D5A71" w:rsidRPr="008D5A71" w:rsidRDefault="008D5A71" w:rsidP="008D5A71">
      <w:pPr>
        <w:numPr>
          <w:ilvl w:val="0"/>
          <w:numId w:val="1"/>
        </w:numPr>
      </w:pPr>
      <w:r w:rsidRPr="008D5A71">
        <w:t xml:space="preserve">å distribuere det vedlagte skjema til hver enkelt person og å sørge for at disse fylles ut og leveres tilbake til deg, sammen med politiattest fra den enkelte. </w:t>
      </w:r>
    </w:p>
    <w:p w14:paraId="57538E61" w14:textId="6E00C1E4" w:rsidR="008D5A71" w:rsidRDefault="008D5A71" w:rsidP="008D5A71">
      <w:pPr>
        <w:numPr>
          <w:ilvl w:val="0"/>
          <w:numId w:val="1"/>
        </w:numPr>
      </w:pPr>
      <w:r w:rsidRPr="008D5A71">
        <w:t>å levere skjemae</w:t>
      </w:r>
      <w:r w:rsidR="003F3CFE">
        <w:t xml:space="preserve">r </w:t>
      </w:r>
      <w:r w:rsidRPr="008D5A71">
        <w:t>og politiattestene fra din virksomhet tilbake til Lotteritilsynet.</w:t>
      </w:r>
    </w:p>
    <w:p w14:paraId="553B0EB2" w14:textId="36C6E6C5" w:rsidR="008D5A71" w:rsidRDefault="008D5A71" w:rsidP="008D5A71">
      <w:r w:rsidRPr="008D5A71">
        <w:t>Egnethetsskjemaene</w:t>
      </w:r>
      <w:r>
        <w:t xml:space="preserve"> og politiattesten</w:t>
      </w:r>
      <w:r w:rsidR="003F3CFE">
        <w:t>e</w:t>
      </w:r>
      <w:r>
        <w:t xml:space="preserve"> skal sendes</w:t>
      </w:r>
      <w:r w:rsidRPr="008D5A71">
        <w:t xml:space="preserve"> pr. post </w:t>
      </w:r>
      <w:r w:rsidR="00604D3A">
        <w:t>(</w:t>
      </w:r>
      <w:r w:rsidR="00604D3A" w:rsidRPr="00B50A0A">
        <w:t>Lotteri</w:t>
      </w:r>
      <w:r w:rsidR="00B50A0A" w:rsidRPr="00B50A0A">
        <w:t>- og stiftelsestilsynet, postboks 800, 6805 Førde</w:t>
      </w:r>
      <w:r w:rsidR="00B50A0A">
        <w:t xml:space="preserve">) </w:t>
      </w:r>
      <w:r w:rsidRPr="008D5A71">
        <w:t xml:space="preserve">eller på e-post til </w:t>
      </w:r>
      <w:hyperlink r:id="rId10" w:history="1">
        <w:r w:rsidR="00A74685" w:rsidRPr="00490F1E">
          <w:rPr>
            <w:rStyle w:val="Hyperkobling"/>
          </w:rPr>
          <w:t>postmottak@lottstift.no</w:t>
        </w:r>
      </w:hyperlink>
      <w:r>
        <w:t xml:space="preserve"> </w:t>
      </w:r>
    </w:p>
    <w:p w14:paraId="267C16CC" w14:textId="4C161D59" w:rsidR="003F3CFE" w:rsidRPr="008D5A71" w:rsidRDefault="003F3CFE" w:rsidP="008D5A71">
      <w:pPr>
        <w:rPr>
          <w:b/>
          <w:bCs/>
        </w:rPr>
      </w:pPr>
      <w:r w:rsidRPr="003F3CFE">
        <w:rPr>
          <w:b/>
          <w:bCs/>
        </w:rPr>
        <w:t>Hva gjør vi?</w:t>
      </w:r>
    </w:p>
    <w:p w14:paraId="2F7418CF" w14:textId="49C3FF9F" w:rsidR="003F3CFE" w:rsidRDefault="008D5A71" w:rsidP="008D5A71">
      <w:r w:rsidRPr="008D5A71">
        <w:t xml:space="preserve">Basert på den informasjonen som ble oppgitt i innsendte skjemaer </w:t>
      </w:r>
      <w:r w:rsidR="003F3CFE">
        <w:t xml:space="preserve">foretar </w:t>
      </w:r>
      <w:r w:rsidRPr="008D5A71">
        <w:t xml:space="preserve">Lotteritilsynet </w:t>
      </w:r>
      <w:r w:rsidR="003F3CFE">
        <w:t xml:space="preserve">en vurdering der man blir ansett som egnet eller uegnet </w:t>
      </w:r>
      <w:r w:rsidR="003F3CFE" w:rsidRPr="003F3CFE">
        <w:t>til å inneha og ivareta sin stilling</w:t>
      </w:r>
      <w:r w:rsidR="003F3CFE">
        <w:t>.</w:t>
      </w:r>
      <w:r w:rsidR="00604D3A">
        <w:t xml:space="preserve"> </w:t>
      </w:r>
      <w:r w:rsidR="00604D3A" w:rsidRPr="00604D3A">
        <w:t>Personer som er dømt for et straffbart forhold som gir grunn til å anta at de ikke vil kunne tilby pengespill på en forsvarlig måte, eller som i en stilling eller et verv har vist en atferd som gir grunn til å anta at de ikke vil kunne tilby pengespill på en forsvarlig måte, er ikke egnet til å tilby pengespill</w:t>
      </w:r>
      <w:r w:rsidR="00604D3A">
        <w:t xml:space="preserve">. </w:t>
      </w:r>
      <w:r w:rsidR="003F3CFE">
        <w:t xml:space="preserve"> </w:t>
      </w:r>
      <w:r w:rsidR="00AD4061">
        <w:t xml:space="preserve">Dersom man blir ansett som uegnet, kan vedtaket påklages etter </w:t>
      </w:r>
      <w:r w:rsidR="00FA43FA">
        <w:t xml:space="preserve">reglene i forvaltningsloven. </w:t>
      </w:r>
    </w:p>
    <w:p w14:paraId="49E8E2FE" w14:textId="77777777" w:rsidR="00604D3A" w:rsidRDefault="008D5A71" w:rsidP="008D5A71">
      <w:r w:rsidRPr="008D5A71">
        <w:t>Vurdering av egnetheten til den aktuelle personkretsen inngår i Lotteritilsynets kontinuerlige tilsynsarbeid på hvitvaskingsområde</w:t>
      </w:r>
      <w:r w:rsidR="003F3CFE">
        <w:t>t</w:t>
      </w:r>
      <w:r w:rsidRPr="008D5A71">
        <w:t xml:space="preserve">, og Lotteritilsynet kan foreta rutinemessige kontroller av at personer fortsatt oppfyller egnethetskravene. Disse kan bli bedt om å fylle ut nye skjemaer. </w:t>
      </w:r>
    </w:p>
    <w:p w14:paraId="2BDDE176" w14:textId="7F325B63" w:rsidR="008D5A71" w:rsidRPr="008D5A71" w:rsidRDefault="008D5A71" w:rsidP="008D5A71">
      <w:r w:rsidRPr="008D5A71">
        <w:t>Lotteritilsynet minner om plikten til å sende inn nye egnethetsskjemaer dersom det skjer endringer i ledelsen, styret eller av reelle rettighetshavere i virksomheten. Videre skal det meldes fra til Lotteritilsynet dersom det skjer endringer i de opplysninger som er gitt i egenerklæringen, eller dersom det oppstår andre forhold som gjør at en person ikke lenger anses egnet.</w:t>
      </w:r>
    </w:p>
    <w:p w14:paraId="0CA8329D" w14:textId="77777777" w:rsidR="008D5A71" w:rsidRDefault="008D5A71"/>
    <w:sectPr w:rsidR="008D5A7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32CF3" w14:textId="77777777" w:rsidR="00B20AA5" w:rsidRDefault="00B20AA5" w:rsidP="008D5A71">
      <w:pPr>
        <w:spacing w:after="0" w:line="240" w:lineRule="auto"/>
      </w:pPr>
      <w:r>
        <w:separator/>
      </w:r>
    </w:p>
  </w:endnote>
  <w:endnote w:type="continuationSeparator" w:id="0">
    <w:p w14:paraId="2B5C07C7" w14:textId="77777777" w:rsidR="00B20AA5" w:rsidRDefault="00B20AA5" w:rsidP="008D5A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84915" w14:textId="77777777" w:rsidR="00B20AA5" w:rsidRDefault="00B20AA5" w:rsidP="008D5A71">
      <w:pPr>
        <w:spacing w:after="0" w:line="240" w:lineRule="auto"/>
      </w:pPr>
      <w:r>
        <w:separator/>
      </w:r>
    </w:p>
  </w:footnote>
  <w:footnote w:type="continuationSeparator" w:id="0">
    <w:p w14:paraId="0CD166FA" w14:textId="77777777" w:rsidR="00B20AA5" w:rsidRDefault="00B20AA5" w:rsidP="008D5A71">
      <w:pPr>
        <w:spacing w:after="0" w:line="240" w:lineRule="auto"/>
      </w:pPr>
      <w:r>
        <w:continuationSeparator/>
      </w:r>
    </w:p>
  </w:footnote>
  <w:footnote w:id="1">
    <w:p w14:paraId="06037C96" w14:textId="77777777" w:rsidR="008D5A71" w:rsidRDefault="008D5A71" w:rsidP="008D5A71">
      <w:pPr>
        <w:pStyle w:val="Fotnotetekst"/>
      </w:pPr>
      <w:r>
        <w:rPr>
          <w:rStyle w:val="Fotnotereferanse"/>
        </w:rPr>
        <w:footnoteRef/>
      </w:r>
      <w:r>
        <w:rPr>
          <w:rFonts w:ascii="Arial" w:hAnsi="Arial" w:cs="Arial"/>
          <w:sz w:val="18"/>
        </w:rPr>
        <w:t xml:space="preserve"> Lov 1. juni 2018 nr. 23 om tiltak mot hvitvasking og terrorfinansiering (hvitvaskingsloven).</w:t>
      </w:r>
    </w:p>
  </w:footnote>
  <w:footnote w:id="2">
    <w:p w14:paraId="5A29CC43" w14:textId="16CD8FEB" w:rsidR="00604D3A" w:rsidRDefault="00604D3A">
      <w:pPr>
        <w:pStyle w:val="Fotnotetekst"/>
      </w:pPr>
      <w:r>
        <w:rPr>
          <w:rStyle w:val="Fotnotereferanse"/>
        </w:rPr>
        <w:footnoteRef/>
      </w:r>
      <w:r>
        <w:t xml:space="preserve"> </w:t>
      </w:r>
      <w:r w:rsidRPr="00604D3A">
        <w:rPr>
          <w:rFonts w:ascii="Arial" w:hAnsi="Arial" w:cs="Arial"/>
          <w:sz w:val="18"/>
        </w:rPr>
        <w:t>Lov 18. mars 2022 nr. 12 Lov om pengespill (pengespilloven)</w:t>
      </w:r>
      <w:r>
        <w:rPr>
          <w:rFonts w:ascii="Arial" w:hAnsi="Arial" w:cs="Arial"/>
          <w:sz w:val="18"/>
        </w:rPr>
        <w:t>, kap. 4</w:t>
      </w:r>
    </w:p>
  </w:footnote>
  <w:footnote w:id="3">
    <w:p w14:paraId="64F1EEF8" w14:textId="6B479D85" w:rsidR="00C038EB" w:rsidRPr="00C038EB" w:rsidRDefault="00C038EB">
      <w:pPr>
        <w:pStyle w:val="Fotnotetekst"/>
        <w:rPr>
          <w:rFonts w:ascii="Arial" w:hAnsi="Arial" w:cs="Arial"/>
          <w:b/>
          <w:bCs/>
          <w:sz w:val="18"/>
        </w:rPr>
      </w:pPr>
      <w:r>
        <w:rPr>
          <w:rStyle w:val="Fotnotereferanse"/>
        </w:rPr>
        <w:footnoteRef/>
      </w:r>
      <w:r>
        <w:t xml:space="preserve"> </w:t>
      </w:r>
      <w:r w:rsidRPr="00C038EB">
        <w:rPr>
          <w:rFonts w:ascii="Arial" w:hAnsi="Arial" w:cs="Arial"/>
          <w:sz w:val="18"/>
        </w:rPr>
        <w:t xml:space="preserve">Hvitvaskingsloven gjelder ikke for </w:t>
      </w:r>
      <w:r>
        <w:rPr>
          <w:rFonts w:ascii="Arial" w:hAnsi="Arial" w:cs="Arial"/>
          <w:sz w:val="18"/>
        </w:rPr>
        <w:t>enkelte</w:t>
      </w:r>
      <w:r w:rsidRPr="00C038EB">
        <w:rPr>
          <w:rFonts w:ascii="Arial" w:hAnsi="Arial" w:cs="Arial"/>
          <w:sz w:val="18"/>
        </w:rPr>
        <w:t xml:space="preserve"> pengespilltilbydere</w:t>
      </w:r>
      <w:r>
        <w:rPr>
          <w:rFonts w:ascii="Arial" w:hAnsi="Arial" w:cs="Arial"/>
          <w:sz w:val="18"/>
        </w:rPr>
        <w:t>, disse unntakene er listet opp</w:t>
      </w:r>
      <w:r w:rsidRPr="00C038EB">
        <w:rPr>
          <w:rFonts w:ascii="Arial" w:hAnsi="Arial" w:cs="Arial"/>
          <w:sz w:val="18"/>
        </w:rPr>
        <w:t xml:space="preserve"> i hvitvaskingsforskriften § 1-4</w:t>
      </w:r>
      <w:r>
        <w:rPr>
          <w:rFonts w:ascii="Arial" w:hAnsi="Arial" w:cs="Arial"/>
          <w:sz w:val="18"/>
        </w:rPr>
        <w:t xml:space="preserve"> bokstav a-c, jf. Forskrift </w:t>
      </w:r>
      <w:r w:rsidRPr="00C038EB">
        <w:rPr>
          <w:rFonts w:ascii="Arial" w:hAnsi="Arial" w:cs="Arial"/>
          <w:sz w:val="18"/>
        </w:rPr>
        <w:t>om tiltak mot hvitvasking og terrorfinansiering </w:t>
      </w:r>
      <w:r>
        <w:rPr>
          <w:rFonts w:ascii="Arial" w:hAnsi="Arial" w:cs="Arial"/>
          <w:sz w:val="18"/>
        </w:rPr>
        <w:t>2018-09-12-1324</w:t>
      </w:r>
    </w:p>
  </w:footnote>
  <w:footnote w:id="4">
    <w:p w14:paraId="52691870" w14:textId="64BE37F4" w:rsidR="00C038EB" w:rsidRPr="004679DD" w:rsidRDefault="00C038EB">
      <w:pPr>
        <w:pStyle w:val="Fotnotetekst"/>
        <w:rPr>
          <w:color w:val="0000FF"/>
          <w:sz w:val="22"/>
          <w:szCs w:val="22"/>
          <w:u w:val="single"/>
        </w:rPr>
      </w:pPr>
      <w:r>
        <w:rPr>
          <w:rStyle w:val="Fotnotereferanse"/>
        </w:rPr>
        <w:footnoteRef/>
      </w:r>
      <w:r w:rsidR="004679DD" w:rsidRPr="004679DD">
        <w:rPr>
          <w:rFonts w:ascii="Arial" w:hAnsi="Arial" w:cs="Arial"/>
          <w:sz w:val="18"/>
        </w:rPr>
        <w:t xml:space="preserve"> </w:t>
      </w:r>
      <w:hyperlink r:id="rId1" w:history="1">
        <w:r w:rsidR="004679DD" w:rsidRPr="004679DD">
          <w:rPr>
            <w:color w:val="0000FF"/>
            <w:sz w:val="22"/>
            <w:szCs w:val="22"/>
            <w:u w:val="single"/>
          </w:rPr>
          <w:t>Sjekkliste hvitvasking - Lottstift</w:t>
        </w:r>
      </w:hyperlink>
    </w:p>
  </w:footnote>
  <w:footnote w:id="5">
    <w:p w14:paraId="219A845C" w14:textId="77777777" w:rsidR="008D5A71" w:rsidRDefault="008D5A71" w:rsidP="008D5A71">
      <w:pPr>
        <w:pStyle w:val="Fotnotetekst"/>
      </w:pPr>
      <w:r>
        <w:rPr>
          <w:rStyle w:val="Fotnotereferanse"/>
        </w:rPr>
        <w:footnoteRef/>
      </w:r>
      <w:r>
        <w:rPr>
          <w:rFonts w:ascii="Arial" w:hAnsi="Arial" w:cs="Arial"/>
          <w:sz w:val="18"/>
        </w:rPr>
        <w:t xml:space="preserve"> Lov 28. mai 2010 nr. 16 om behandling av opplysninger i politiet og påtalemyndigheten.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9A0E58"/>
    <w:multiLevelType w:val="multilevel"/>
    <w:tmpl w:val="EFDC633C"/>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02625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comments="0" w:insDel="0" w:formatting="0"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A71"/>
    <w:rsid w:val="002E41DA"/>
    <w:rsid w:val="003F3CFE"/>
    <w:rsid w:val="00414470"/>
    <w:rsid w:val="004679DD"/>
    <w:rsid w:val="00604D3A"/>
    <w:rsid w:val="008D5A71"/>
    <w:rsid w:val="00A74685"/>
    <w:rsid w:val="00AD4061"/>
    <w:rsid w:val="00B20AA5"/>
    <w:rsid w:val="00B50A0A"/>
    <w:rsid w:val="00C038EB"/>
    <w:rsid w:val="00FA43F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F8C31"/>
  <w15:chartTrackingRefBased/>
  <w15:docId w15:val="{1AF7A624-E805-47B5-8B2E-64616A781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C038E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Fotnotetekst">
    <w:name w:val="footnote text"/>
    <w:basedOn w:val="Normal"/>
    <w:link w:val="FotnotetekstTegn"/>
    <w:uiPriority w:val="99"/>
    <w:semiHidden/>
    <w:unhideWhenUsed/>
    <w:rsid w:val="008D5A71"/>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8D5A71"/>
    <w:rPr>
      <w:sz w:val="20"/>
      <w:szCs w:val="20"/>
    </w:rPr>
  </w:style>
  <w:style w:type="character" w:styleId="Fotnotereferanse">
    <w:name w:val="footnote reference"/>
    <w:basedOn w:val="Standardskriftforavsnitt"/>
    <w:rsid w:val="008D5A71"/>
    <w:rPr>
      <w:position w:val="0"/>
      <w:vertAlign w:val="superscript"/>
    </w:rPr>
  </w:style>
  <w:style w:type="character" w:styleId="Hyperkobling">
    <w:name w:val="Hyperlink"/>
    <w:basedOn w:val="Standardskriftforavsnitt"/>
    <w:uiPriority w:val="99"/>
    <w:unhideWhenUsed/>
    <w:rsid w:val="008D5A71"/>
    <w:rPr>
      <w:color w:val="0563C1" w:themeColor="hyperlink"/>
      <w:u w:val="single"/>
    </w:rPr>
  </w:style>
  <w:style w:type="character" w:styleId="Ulstomtale">
    <w:name w:val="Unresolved Mention"/>
    <w:basedOn w:val="Standardskriftforavsnitt"/>
    <w:uiPriority w:val="99"/>
    <w:semiHidden/>
    <w:unhideWhenUsed/>
    <w:rsid w:val="008D5A71"/>
    <w:rPr>
      <w:color w:val="605E5C"/>
      <w:shd w:val="clear" w:color="auto" w:fill="E1DFDD"/>
    </w:rPr>
  </w:style>
  <w:style w:type="character" w:customStyle="1" w:styleId="Overskrift1Tegn">
    <w:name w:val="Overskrift 1 Tegn"/>
    <w:basedOn w:val="Standardskriftforavsnitt"/>
    <w:link w:val="Overskrift1"/>
    <w:uiPriority w:val="9"/>
    <w:rsid w:val="00C038E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172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ottstift.n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ostmottak@lottstift.no" TargetMode="External"/><Relationship Id="rId4" Type="http://schemas.openxmlformats.org/officeDocument/2006/relationships/settings" Target="settings.xml"/><Relationship Id="rId9" Type="http://schemas.openxmlformats.org/officeDocument/2006/relationships/hyperlink" Target="https://lottstift.no/for-aktorer/hvitvasking-i-pengespill/sjekkliste-hvitvaskin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lottstift.no/for-aktorer/hvitvasking-i-pengespill/sjekkliste-hvitvasking/"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F6A379-5BC9-4358-9C3E-B163990DD4C7}">
  <ds:schemaRefs>
    <ds:schemaRef ds:uri="http://schemas.openxmlformats.org/officeDocument/2006/bibliography"/>
  </ds:schemaRefs>
</ds:datastoreItem>
</file>

<file path=docMetadata/LabelInfo.xml><?xml version="1.0" encoding="utf-8"?>
<clbl:labelList xmlns:clbl="http://schemas.microsoft.com/office/2020/mipLabelMetadata">
  <clbl:label id="{0c3b295a-3399-4c3f-852b-1541bef648a6}" enabled="1" method="Standard" siteId="{f17750e5-b31e-4af6-ae15-9f660d527588}" removed="0"/>
</clbl:labelList>
</file>

<file path=docProps/app.xml><?xml version="1.0" encoding="utf-8"?>
<Properties xmlns="http://schemas.openxmlformats.org/officeDocument/2006/extended-properties" xmlns:vt="http://schemas.openxmlformats.org/officeDocument/2006/docPropsVTypes">
  <Template>Normal</Template>
  <TotalTime>4060</TotalTime>
  <Pages>2</Pages>
  <Words>787</Words>
  <Characters>4177</Characters>
  <Application>Microsoft Office Word</Application>
  <DocSecurity>0</DocSecurity>
  <Lines>34</Lines>
  <Paragraphs>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Tatyana Gorskaya Klepaker</dc:creator>
  <cp:keywords/>
  <dc:description/>
  <cp:lastModifiedBy>Tatyana Søreide Klepaker</cp:lastModifiedBy>
  <cp:revision>4</cp:revision>
  <dcterms:created xsi:type="dcterms:W3CDTF">2023-02-03T12:01:00Z</dcterms:created>
  <dcterms:modified xsi:type="dcterms:W3CDTF">2023-02-06T08:55:00Z</dcterms:modified>
</cp:coreProperties>
</file>